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6615" w14:textId="5C102A5A" w:rsidR="00D613D5" w:rsidRPr="007A2064" w:rsidRDefault="441EECEF" w:rsidP="1448E781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1448E781">
        <w:rPr>
          <w:b/>
          <w:bCs/>
          <w:color w:val="2F5496" w:themeColor="accent1" w:themeShade="BF"/>
          <w:sz w:val="28"/>
          <w:szCs w:val="28"/>
        </w:rPr>
        <w:t>Barne</w:t>
      </w:r>
      <w:r w:rsidR="00D613D5" w:rsidRPr="1448E781">
        <w:rPr>
          <w:b/>
          <w:bCs/>
          <w:color w:val="2F5496" w:themeColor="accent1" w:themeShade="BF"/>
          <w:sz w:val="28"/>
          <w:szCs w:val="28"/>
        </w:rPr>
        <w:t>t Primary Care Training Hub</w:t>
      </w:r>
    </w:p>
    <w:p w14:paraId="5561B0B3" w14:textId="182AF18C" w:rsidR="00D613D5" w:rsidRDefault="00D613D5" w:rsidP="1448E781">
      <w:pPr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1448E781">
        <w:rPr>
          <w:b/>
          <w:bCs/>
          <w:color w:val="2F5496" w:themeColor="accent1" w:themeShade="BF"/>
          <w:sz w:val="36"/>
          <w:szCs w:val="36"/>
        </w:rPr>
        <w:t xml:space="preserve">GP Assistant Training </w:t>
      </w:r>
      <w:proofErr w:type="spellStart"/>
      <w:r w:rsidRPr="1448E781">
        <w:rPr>
          <w:b/>
          <w:bCs/>
          <w:color w:val="2F5496" w:themeColor="accent1" w:themeShade="BF"/>
          <w:sz w:val="36"/>
          <w:szCs w:val="36"/>
        </w:rPr>
        <w:t>Programme</w:t>
      </w:r>
      <w:proofErr w:type="spellEnd"/>
    </w:p>
    <w:p w14:paraId="4281412E" w14:textId="628C17F8" w:rsidR="007A2064" w:rsidRPr="007A2064" w:rsidRDefault="007A2064" w:rsidP="1448E781">
      <w:pPr>
        <w:spacing w:after="0"/>
        <w:jc w:val="center"/>
        <w:rPr>
          <w:b/>
          <w:bCs/>
          <w:color w:val="2F5496" w:themeColor="accent1" w:themeShade="BF"/>
          <w:sz w:val="20"/>
          <w:szCs w:val="20"/>
        </w:rPr>
      </w:pPr>
      <w:r w:rsidRPr="1448E781">
        <w:rPr>
          <w:b/>
          <w:bCs/>
          <w:color w:val="2F5496" w:themeColor="accent1" w:themeShade="BF"/>
          <w:sz w:val="20"/>
          <w:szCs w:val="20"/>
        </w:rPr>
        <w:t>(for</w:t>
      </w:r>
      <w:r w:rsidR="33DA6D7A" w:rsidRPr="1448E781">
        <w:rPr>
          <w:b/>
          <w:bCs/>
          <w:color w:val="2F5496" w:themeColor="accent1" w:themeShade="BF"/>
          <w:sz w:val="20"/>
          <w:szCs w:val="20"/>
        </w:rPr>
        <w:t>merly</w:t>
      </w:r>
      <w:r w:rsidRPr="1448E781">
        <w:rPr>
          <w:b/>
          <w:bCs/>
          <w:color w:val="2F5496" w:themeColor="accent1" w:themeShade="BF"/>
          <w:sz w:val="20"/>
          <w:szCs w:val="20"/>
        </w:rPr>
        <w:t xml:space="preserve"> Medical Assistant)</w:t>
      </w:r>
    </w:p>
    <w:p w14:paraId="6D5D2DDF" w14:textId="5B3CEA45" w:rsidR="00D613D5" w:rsidRPr="007A2064" w:rsidRDefault="00D613D5" w:rsidP="1448E781">
      <w:pPr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1448E781">
        <w:rPr>
          <w:b/>
          <w:bCs/>
          <w:color w:val="2F5496" w:themeColor="accent1" w:themeShade="BF"/>
          <w:sz w:val="36"/>
          <w:szCs w:val="36"/>
        </w:rPr>
        <w:t>May 2021 – October 2021</w:t>
      </w:r>
    </w:p>
    <w:p w14:paraId="66C267FC" w14:textId="66F9C0CF" w:rsidR="1A17A899" w:rsidRDefault="1A17A899" w:rsidP="1448E781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1448E781">
        <w:rPr>
          <w:b/>
          <w:bCs/>
          <w:color w:val="2F5496" w:themeColor="accent1" w:themeShade="BF"/>
          <w:sz w:val="24"/>
          <w:szCs w:val="24"/>
        </w:rPr>
        <w:t>GP assistants will be trained to:</w:t>
      </w:r>
    </w:p>
    <w:p w14:paraId="296CDEC1" w14:textId="5FDAA6CC" w:rsidR="00250EC6" w:rsidRDefault="1A17A899" w:rsidP="17104BC3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7104BC3">
        <w:rPr>
          <w:color w:val="2F5496" w:themeColor="accent1" w:themeShade="BF"/>
          <w:sz w:val="24"/>
          <w:szCs w:val="24"/>
        </w:rPr>
        <w:t xml:space="preserve">Sort </w:t>
      </w:r>
      <w:r w:rsidR="3CE815D5" w:rsidRPr="17104BC3">
        <w:rPr>
          <w:color w:val="2F5496" w:themeColor="accent1" w:themeShade="BF"/>
          <w:sz w:val="24"/>
          <w:szCs w:val="24"/>
        </w:rPr>
        <w:t xml:space="preserve">and </w:t>
      </w:r>
      <w:r w:rsidR="4E168E7D" w:rsidRPr="17104BC3">
        <w:rPr>
          <w:color w:val="2F5496" w:themeColor="accent1" w:themeShade="BF"/>
          <w:sz w:val="24"/>
          <w:szCs w:val="24"/>
        </w:rPr>
        <w:t>priorities</w:t>
      </w:r>
      <w:r w:rsidR="3CE815D5" w:rsidRPr="17104BC3">
        <w:rPr>
          <w:color w:val="2F5496" w:themeColor="accent1" w:themeShade="BF"/>
          <w:sz w:val="24"/>
          <w:szCs w:val="24"/>
        </w:rPr>
        <w:t xml:space="preserve"> </w:t>
      </w:r>
      <w:r w:rsidRPr="17104BC3">
        <w:rPr>
          <w:color w:val="2F5496" w:themeColor="accent1" w:themeShade="BF"/>
          <w:sz w:val="24"/>
          <w:szCs w:val="24"/>
        </w:rPr>
        <w:t>clinical pos</w:t>
      </w:r>
      <w:r w:rsidR="6707C32F" w:rsidRPr="17104BC3">
        <w:rPr>
          <w:color w:val="2F5496" w:themeColor="accent1" w:themeShade="BF"/>
          <w:sz w:val="24"/>
          <w:szCs w:val="24"/>
        </w:rPr>
        <w:t xml:space="preserve">t </w:t>
      </w:r>
      <w:r w:rsidR="55AA94DC" w:rsidRPr="17104BC3">
        <w:rPr>
          <w:color w:val="2F5496" w:themeColor="accent1" w:themeShade="BF"/>
          <w:sz w:val="24"/>
          <w:szCs w:val="24"/>
        </w:rPr>
        <w:t xml:space="preserve">- extract &amp; code relevant information </w:t>
      </w:r>
    </w:p>
    <w:p w14:paraId="5E7353D2" w14:textId="5A23C5EC" w:rsidR="1A17A899" w:rsidRPr="00333A0C" w:rsidRDefault="1A17A899" w:rsidP="1448E781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  <w:highlight w:val="yellow"/>
        </w:rPr>
      </w:pPr>
      <w:r w:rsidRPr="17104BC3">
        <w:rPr>
          <w:color w:val="2F5496" w:themeColor="accent1" w:themeShade="BF"/>
          <w:sz w:val="24"/>
          <w:szCs w:val="24"/>
        </w:rPr>
        <w:t>Improve</w:t>
      </w:r>
      <w:r w:rsidR="69DE9DE2" w:rsidRPr="17104BC3">
        <w:rPr>
          <w:color w:val="2F5496" w:themeColor="accent1" w:themeShade="BF"/>
          <w:sz w:val="24"/>
          <w:szCs w:val="24"/>
        </w:rPr>
        <w:t xml:space="preserve"> </w:t>
      </w:r>
      <w:r w:rsidRPr="17104BC3">
        <w:rPr>
          <w:color w:val="2F5496" w:themeColor="accent1" w:themeShade="BF"/>
          <w:sz w:val="24"/>
          <w:szCs w:val="24"/>
        </w:rPr>
        <w:t>confidence in</w:t>
      </w:r>
      <w:r w:rsidR="4B5CE449" w:rsidRPr="17104BC3">
        <w:rPr>
          <w:color w:val="2F5496" w:themeColor="accent1" w:themeShade="BF"/>
          <w:sz w:val="24"/>
          <w:szCs w:val="24"/>
        </w:rPr>
        <w:t xml:space="preserve"> digital consultation</w:t>
      </w:r>
      <w:r w:rsidR="4A722EDB" w:rsidRPr="17104BC3">
        <w:rPr>
          <w:color w:val="2F5496" w:themeColor="accent1" w:themeShade="BF"/>
          <w:sz w:val="24"/>
          <w:szCs w:val="24"/>
        </w:rPr>
        <w:t xml:space="preserve"> t</w:t>
      </w:r>
      <w:r w:rsidR="4B5CE449" w:rsidRPr="17104BC3">
        <w:rPr>
          <w:color w:val="2F5496" w:themeColor="accent1" w:themeShade="BF"/>
          <w:sz w:val="24"/>
          <w:szCs w:val="24"/>
        </w:rPr>
        <w:t>riage</w:t>
      </w:r>
    </w:p>
    <w:p w14:paraId="47170717" w14:textId="1C292B67" w:rsidR="360B8669" w:rsidRDefault="360B8669" w:rsidP="1448E781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7104BC3">
        <w:rPr>
          <w:color w:val="2F5496" w:themeColor="accent1" w:themeShade="BF"/>
          <w:sz w:val="24"/>
          <w:szCs w:val="24"/>
        </w:rPr>
        <w:t>Independently deal with routine clinical post</w:t>
      </w:r>
    </w:p>
    <w:p w14:paraId="5228CF37" w14:textId="5BDF29A3" w:rsidR="06128412" w:rsidRDefault="06128412" w:rsidP="1448E781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>Facilitate</w:t>
      </w:r>
      <w:r w:rsidR="0CD3983D" w:rsidRPr="1448E781">
        <w:rPr>
          <w:color w:val="2F5496" w:themeColor="accent1" w:themeShade="BF"/>
          <w:sz w:val="24"/>
          <w:szCs w:val="24"/>
        </w:rPr>
        <w:t xml:space="preserve"> follow-up appointments and onward </w:t>
      </w:r>
      <w:r w:rsidR="1A17A899" w:rsidRPr="1448E781">
        <w:rPr>
          <w:color w:val="2F5496" w:themeColor="accent1" w:themeShade="BF"/>
          <w:sz w:val="24"/>
          <w:szCs w:val="24"/>
        </w:rPr>
        <w:t>referrals</w:t>
      </w:r>
      <w:r w:rsidR="604BD8D9" w:rsidRPr="1448E781">
        <w:rPr>
          <w:color w:val="2F5496" w:themeColor="accent1" w:themeShade="BF"/>
          <w:sz w:val="24"/>
          <w:szCs w:val="24"/>
        </w:rPr>
        <w:t>.</w:t>
      </w:r>
    </w:p>
    <w:p w14:paraId="3B134AF4" w14:textId="6FCE844E" w:rsidR="1A17A899" w:rsidRPr="00250EC6" w:rsidRDefault="1A17A899" w:rsidP="00250EC6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>Comple</w:t>
      </w:r>
      <w:r w:rsidR="7CFCF796" w:rsidRPr="1448E781">
        <w:rPr>
          <w:color w:val="2F5496" w:themeColor="accent1" w:themeShade="BF"/>
          <w:sz w:val="24"/>
          <w:szCs w:val="24"/>
        </w:rPr>
        <w:t>te</w:t>
      </w:r>
      <w:r w:rsidRPr="1448E781">
        <w:rPr>
          <w:color w:val="2F5496" w:themeColor="accent1" w:themeShade="BF"/>
          <w:sz w:val="24"/>
          <w:szCs w:val="24"/>
        </w:rPr>
        <w:t xml:space="preserve"> </w:t>
      </w:r>
      <w:r w:rsidR="596E2B59" w:rsidRPr="1448E781">
        <w:rPr>
          <w:color w:val="2F5496" w:themeColor="accent1" w:themeShade="BF"/>
          <w:sz w:val="24"/>
          <w:szCs w:val="24"/>
        </w:rPr>
        <w:t>straigh</w:t>
      </w:r>
      <w:r w:rsidR="096FCA45" w:rsidRPr="1448E781">
        <w:rPr>
          <w:color w:val="2F5496" w:themeColor="accent1" w:themeShade="BF"/>
          <w:sz w:val="24"/>
          <w:szCs w:val="24"/>
        </w:rPr>
        <w:t>t</w:t>
      </w:r>
      <w:r w:rsidR="596E2B59" w:rsidRPr="1448E781">
        <w:rPr>
          <w:color w:val="2F5496" w:themeColor="accent1" w:themeShade="BF"/>
          <w:sz w:val="24"/>
          <w:szCs w:val="24"/>
        </w:rPr>
        <w:t>forward</w:t>
      </w:r>
      <w:r w:rsidRPr="1448E781">
        <w:rPr>
          <w:color w:val="2F5496" w:themeColor="accent1" w:themeShade="BF"/>
          <w:sz w:val="24"/>
          <w:szCs w:val="24"/>
        </w:rPr>
        <w:t xml:space="preserve"> (non-opinion) forms for GP</w:t>
      </w:r>
      <w:r w:rsidR="00250EC6">
        <w:rPr>
          <w:color w:val="2F5496" w:themeColor="accent1" w:themeShade="BF"/>
          <w:sz w:val="24"/>
          <w:szCs w:val="24"/>
        </w:rPr>
        <w:t>s</w:t>
      </w:r>
      <w:r w:rsidRPr="1448E781">
        <w:rPr>
          <w:color w:val="2F5496" w:themeColor="accent1" w:themeShade="BF"/>
          <w:sz w:val="24"/>
          <w:szCs w:val="24"/>
        </w:rPr>
        <w:t xml:space="preserve"> to approve and sign </w:t>
      </w:r>
      <w:r w:rsidR="00250EC6">
        <w:rPr>
          <w:color w:val="2F5496" w:themeColor="accent1" w:themeShade="BF"/>
          <w:sz w:val="24"/>
          <w:szCs w:val="24"/>
        </w:rPr>
        <w:t>(</w:t>
      </w:r>
      <w:r w:rsidR="00045479" w:rsidRPr="00250EC6">
        <w:rPr>
          <w:color w:val="2F5496" w:themeColor="accent1" w:themeShade="BF"/>
          <w:sz w:val="24"/>
          <w:szCs w:val="24"/>
        </w:rPr>
        <w:t>e.g. Insurance</w:t>
      </w:r>
      <w:r w:rsidRPr="00250EC6">
        <w:rPr>
          <w:color w:val="2F5496" w:themeColor="accent1" w:themeShade="BF"/>
          <w:sz w:val="24"/>
          <w:szCs w:val="24"/>
        </w:rPr>
        <w:t xml:space="preserve"> forms</w:t>
      </w:r>
      <w:r w:rsidR="00250EC6">
        <w:rPr>
          <w:color w:val="2F5496" w:themeColor="accent1" w:themeShade="BF"/>
          <w:sz w:val="24"/>
          <w:szCs w:val="24"/>
        </w:rPr>
        <w:t>)</w:t>
      </w:r>
    </w:p>
    <w:p w14:paraId="0B0B2C0F" w14:textId="41014C89" w:rsidR="1A17A899" w:rsidRDefault="1A17A899" w:rsidP="1448E781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>Help GP</w:t>
      </w:r>
      <w:r w:rsidR="00250EC6">
        <w:rPr>
          <w:color w:val="2F5496" w:themeColor="accent1" w:themeShade="BF"/>
          <w:sz w:val="24"/>
          <w:szCs w:val="24"/>
        </w:rPr>
        <w:t xml:space="preserve"> to</w:t>
      </w:r>
      <w:r w:rsidRPr="1448E781">
        <w:rPr>
          <w:color w:val="2F5496" w:themeColor="accent1" w:themeShade="BF"/>
          <w:sz w:val="24"/>
          <w:szCs w:val="24"/>
        </w:rPr>
        <w:t xml:space="preserve"> liaise with outside agencie</w:t>
      </w:r>
      <w:r w:rsidR="00333A0C">
        <w:rPr>
          <w:color w:val="2F5496" w:themeColor="accent1" w:themeShade="BF"/>
          <w:sz w:val="24"/>
          <w:szCs w:val="24"/>
        </w:rPr>
        <w:t xml:space="preserve">s </w:t>
      </w:r>
      <w:r w:rsidR="00045479">
        <w:rPr>
          <w:color w:val="2F5496" w:themeColor="accent1" w:themeShade="BF"/>
          <w:sz w:val="24"/>
          <w:szCs w:val="24"/>
        </w:rPr>
        <w:t>e.g.,</w:t>
      </w:r>
      <w:r w:rsidRPr="1448E781">
        <w:rPr>
          <w:color w:val="2F5496" w:themeColor="accent1" w:themeShade="BF"/>
          <w:sz w:val="24"/>
          <w:szCs w:val="24"/>
        </w:rPr>
        <w:t xml:space="preserve"> arranging for on call </w:t>
      </w:r>
      <w:r w:rsidR="00045479">
        <w:rPr>
          <w:color w:val="2F5496" w:themeColor="accent1" w:themeShade="BF"/>
          <w:sz w:val="24"/>
          <w:szCs w:val="24"/>
        </w:rPr>
        <w:t xml:space="preserve">hospital </w:t>
      </w:r>
      <w:r w:rsidRPr="1448E781">
        <w:rPr>
          <w:color w:val="2F5496" w:themeColor="accent1" w:themeShade="BF"/>
          <w:sz w:val="24"/>
          <w:szCs w:val="24"/>
        </w:rPr>
        <w:t>doctors to provide advice on the phone, or to arrange admission, allowing the GP to continue with their consultation(s)</w:t>
      </w:r>
    </w:p>
    <w:p w14:paraId="4499290E" w14:textId="08BE59CD" w:rsidR="00202894" w:rsidRDefault="1A17A899" w:rsidP="1448E781">
      <w:pPr>
        <w:pStyle w:val="ListParagraph"/>
        <w:numPr>
          <w:ilvl w:val="0"/>
          <w:numId w:val="1"/>
        </w:numPr>
        <w:spacing w:after="0"/>
        <w:rPr>
          <w:color w:val="2F5496" w:themeColor="accent1" w:themeShade="BF"/>
          <w:sz w:val="24"/>
          <w:szCs w:val="24"/>
        </w:rPr>
      </w:pPr>
      <w:r w:rsidRPr="17104BC3">
        <w:rPr>
          <w:color w:val="2F5496" w:themeColor="accent1" w:themeShade="BF"/>
          <w:sz w:val="24"/>
          <w:szCs w:val="24"/>
        </w:rPr>
        <w:t>Support the GP practice team with population health monitoring</w:t>
      </w:r>
      <w:r w:rsidR="00250EC6" w:rsidRPr="17104BC3">
        <w:rPr>
          <w:color w:val="2F5496" w:themeColor="accent1" w:themeShade="BF"/>
          <w:sz w:val="24"/>
          <w:szCs w:val="24"/>
        </w:rPr>
        <w:t>/ QOF data</w:t>
      </w:r>
    </w:p>
    <w:p w14:paraId="400FB07D" w14:textId="48258248" w:rsidR="00202894" w:rsidRDefault="00B93A44" w:rsidP="17104BC3">
      <w:pPr>
        <w:pStyle w:val="ListParagraph"/>
        <w:numPr>
          <w:ilvl w:val="0"/>
          <w:numId w:val="1"/>
        </w:numPr>
        <w:spacing w:after="0" w:line="240" w:lineRule="auto"/>
        <w:rPr>
          <w:color w:val="2F5496" w:themeColor="accent1" w:themeShade="BF"/>
          <w:sz w:val="24"/>
          <w:szCs w:val="24"/>
        </w:rPr>
      </w:pPr>
      <w:r>
        <w:rPr>
          <w:rFonts w:ascii="Calibri" w:hAnsi="Calibri"/>
          <w:color w:val="2F5496" w:themeColor="accent1" w:themeShade="BF"/>
          <w:sz w:val="24"/>
          <w:szCs w:val="24"/>
        </w:rPr>
        <w:t>Undertake quality improvement (QI) within practice</w:t>
      </w:r>
      <w:r w:rsidR="00045479">
        <w:rPr>
          <w:rFonts w:ascii="Calibri" w:hAnsi="Calibri"/>
          <w:color w:val="2F5496" w:themeColor="accent1" w:themeShade="BF"/>
          <w:sz w:val="24"/>
          <w:szCs w:val="24"/>
        </w:rPr>
        <w:t>/PCN</w:t>
      </w:r>
    </w:p>
    <w:p w14:paraId="3AE46DCA" w14:textId="57659798" w:rsidR="17104BC3" w:rsidRDefault="17104BC3" w:rsidP="17104BC3">
      <w:pPr>
        <w:spacing w:after="0"/>
        <w:rPr>
          <w:b/>
          <w:bCs/>
          <w:color w:val="2F5496" w:themeColor="accent1" w:themeShade="BF"/>
          <w:sz w:val="24"/>
          <w:szCs w:val="24"/>
        </w:rPr>
      </w:pPr>
    </w:p>
    <w:p w14:paraId="66E77807" w14:textId="2580501C" w:rsidR="00202894" w:rsidRDefault="4B9088FA" w:rsidP="1448E781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17104BC3">
        <w:rPr>
          <w:b/>
          <w:bCs/>
          <w:color w:val="2F5496" w:themeColor="accent1" w:themeShade="BF"/>
          <w:sz w:val="24"/>
          <w:szCs w:val="24"/>
        </w:rPr>
        <w:t xml:space="preserve">Benefits </w:t>
      </w:r>
      <w:r w:rsidR="4C188126" w:rsidRPr="17104BC3">
        <w:rPr>
          <w:b/>
          <w:bCs/>
          <w:color w:val="2F5496" w:themeColor="accent1" w:themeShade="BF"/>
          <w:sz w:val="24"/>
          <w:szCs w:val="24"/>
        </w:rPr>
        <w:t xml:space="preserve">to the </w:t>
      </w:r>
      <w:r w:rsidR="00045479" w:rsidRPr="17104BC3">
        <w:rPr>
          <w:b/>
          <w:bCs/>
          <w:color w:val="2F5496" w:themeColor="accent1" w:themeShade="BF"/>
          <w:sz w:val="24"/>
          <w:szCs w:val="24"/>
        </w:rPr>
        <w:t>practice: -</w:t>
      </w:r>
    </w:p>
    <w:p w14:paraId="2306FC3B" w14:textId="34943310" w:rsidR="00202894" w:rsidRDefault="4C188126" w:rsidP="1448E781">
      <w:pPr>
        <w:pStyle w:val="ListParagraph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 xml:space="preserve">Reduce GP workload </w:t>
      </w:r>
    </w:p>
    <w:p w14:paraId="5A884D38" w14:textId="468DFCFE" w:rsidR="00202894" w:rsidRDefault="062BA31D" w:rsidP="1448E781">
      <w:pPr>
        <w:pStyle w:val="ListParagraph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>Releasing time for patient clinical care</w:t>
      </w:r>
    </w:p>
    <w:p w14:paraId="7C4FA1DE" w14:textId="21E56BB7" w:rsidR="00202894" w:rsidRDefault="4CD32EFF" w:rsidP="17104BC3">
      <w:pPr>
        <w:pStyle w:val="ListParagraph"/>
        <w:numPr>
          <w:ilvl w:val="0"/>
          <w:numId w:val="4"/>
        </w:numPr>
        <w:spacing w:after="0" w:line="240" w:lineRule="auto"/>
        <w:rPr>
          <w:color w:val="2F5496" w:themeColor="accent1" w:themeShade="BF"/>
          <w:sz w:val="24"/>
          <w:szCs w:val="24"/>
        </w:rPr>
      </w:pPr>
      <w:r w:rsidRPr="17104BC3">
        <w:rPr>
          <w:color w:val="2F5496" w:themeColor="accent1" w:themeShade="BF"/>
          <w:sz w:val="24"/>
          <w:szCs w:val="24"/>
        </w:rPr>
        <w:t>Fully funded opportunity to upskill existing non</w:t>
      </w:r>
      <w:r w:rsidR="00250EC6" w:rsidRPr="17104BC3">
        <w:rPr>
          <w:color w:val="2F5496" w:themeColor="accent1" w:themeShade="BF"/>
          <w:sz w:val="24"/>
          <w:szCs w:val="24"/>
        </w:rPr>
        <w:t>-</w:t>
      </w:r>
      <w:r w:rsidRPr="17104BC3">
        <w:rPr>
          <w:color w:val="2F5496" w:themeColor="accent1" w:themeShade="BF"/>
          <w:sz w:val="24"/>
          <w:szCs w:val="24"/>
        </w:rPr>
        <w:t xml:space="preserve">clinical staff </w:t>
      </w:r>
      <w:r w:rsidR="00045479" w:rsidRPr="17104BC3">
        <w:rPr>
          <w:color w:val="2F5496" w:themeColor="accent1" w:themeShade="BF"/>
          <w:sz w:val="24"/>
          <w:szCs w:val="24"/>
        </w:rPr>
        <w:t>members.</w:t>
      </w:r>
    </w:p>
    <w:p w14:paraId="2026A717" w14:textId="01D11827" w:rsidR="17104BC3" w:rsidRDefault="17104BC3" w:rsidP="17104BC3">
      <w:pPr>
        <w:spacing w:after="0"/>
        <w:rPr>
          <w:b/>
          <w:bCs/>
          <w:color w:val="2F5496" w:themeColor="accent1" w:themeShade="BF"/>
          <w:sz w:val="24"/>
          <w:szCs w:val="24"/>
        </w:rPr>
      </w:pPr>
    </w:p>
    <w:p w14:paraId="10D7D7AF" w14:textId="41C0D494" w:rsidR="007A2064" w:rsidRDefault="00333A0C" w:rsidP="1448E781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proofErr w:type="spellStart"/>
      <w:r>
        <w:rPr>
          <w:b/>
          <w:bCs/>
          <w:color w:val="2F5496" w:themeColor="accent1" w:themeShade="BF"/>
          <w:sz w:val="24"/>
          <w:szCs w:val="24"/>
        </w:rPr>
        <w:t>Programme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D613D5" w:rsidRPr="1448E781">
        <w:rPr>
          <w:b/>
          <w:bCs/>
          <w:color w:val="2F5496" w:themeColor="accent1" w:themeShade="BF"/>
          <w:sz w:val="24"/>
          <w:szCs w:val="24"/>
        </w:rPr>
        <w:t xml:space="preserve">run </w:t>
      </w:r>
      <w:r w:rsidR="007A2064" w:rsidRPr="1448E781">
        <w:rPr>
          <w:b/>
          <w:bCs/>
          <w:color w:val="2F5496" w:themeColor="accent1" w:themeShade="BF"/>
          <w:sz w:val="24"/>
          <w:szCs w:val="24"/>
        </w:rPr>
        <w:t xml:space="preserve">remotely via MS Teams </w:t>
      </w:r>
      <w:r w:rsidR="00D613D5" w:rsidRPr="1448E781">
        <w:rPr>
          <w:b/>
          <w:bCs/>
          <w:color w:val="2F5496" w:themeColor="accent1" w:themeShade="BF"/>
          <w:sz w:val="24"/>
          <w:szCs w:val="24"/>
        </w:rPr>
        <w:t xml:space="preserve">over </w:t>
      </w:r>
      <w:r w:rsidR="768F4F4D" w:rsidRPr="1448E781">
        <w:rPr>
          <w:b/>
          <w:bCs/>
          <w:color w:val="2F5496" w:themeColor="accent1" w:themeShade="BF"/>
          <w:sz w:val="24"/>
          <w:szCs w:val="24"/>
        </w:rPr>
        <w:t>9</w:t>
      </w:r>
      <w:r w:rsidR="00D613D5" w:rsidRPr="1448E781">
        <w:rPr>
          <w:b/>
          <w:bCs/>
          <w:color w:val="2F5496" w:themeColor="accent1" w:themeShade="BF"/>
          <w:sz w:val="24"/>
          <w:szCs w:val="24"/>
        </w:rPr>
        <w:t xml:space="preserve"> sessions involving:</w:t>
      </w:r>
    </w:p>
    <w:p w14:paraId="3A2A7E18" w14:textId="1AAE6B3D" w:rsidR="00D613D5" w:rsidRPr="007A2064" w:rsidRDefault="00D613D5" w:rsidP="1448E781">
      <w:pPr>
        <w:pStyle w:val="ListParagraph"/>
        <w:numPr>
          <w:ilvl w:val="0"/>
          <w:numId w:val="5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 xml:space="preserve">Introduction to the </w:t>
      </w:r>
      <w:proofErr w:type="spellStart"/>
      <w:r w:rsidRPr="1448E781">
        <w:rPr>
          <w:color w:val="2F5496" w:themeColor="accent1" w:themeShade="BF"/>
          <w:sz w:val="24"/>
          <w:szCs w:val="24"/>
        </w:rPr>
        <w:t>programme</w:t>
      </w:r>
      <w:proofErr w:type="spellEnd"/>
      <w:r w:rsidRPr="1448E781">
        <w:rPr>
          <w:color w:val="2F5496" w:themeColor="accent1" w:themeShade="BF"/>
          <w:sz w:val="24"/>
          <w:szCs w:val="24"/>
        </w:rPr>
        <w:t xml:space="preserve"> for GP Assistants and GP mentors</w:t>
      </w:r>
      <w:r w:rsidR="009D0A40">
        <w:rPr>
          <w:color w:val="2F5496" w:themeColor="accent1" w:themeShade="BF"/>
          <w:sz w:val="24"/>
          <w:szCs w:val="24"/>
        </w:rPr>
        <w:t xml:space="preserve"> and practice managers</w:t>
      </w:r>
    </w:p>
    <w:p w14:paraId="6E33CE91" w14:textId="3054C027" w:rsidR="00D613D5" w:rsidRPr="007A2064" w:rsidRDefault="00D613D5" w:rsidP="1448E781">
      <w:pPr>
        <w:pStyle w:val="ListParagraph"/>
        <w:numPr>
          <w:ilvl w:val="0"/>
          <w:numId w:val="5"/>
        </w:numPr>
        <w:spacing w:after="0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>Half day remote sessions involving large group learning &amp; small group discussions</w:t>
      </w:r>
      <w:r w:rsidR="009D0A40">
        <w:rPr>
          <w:color w:val="2F5496" w:themeColor="accent1" w:themeShade="BF"/>
          <w:sz w:val="24"/>
          <w:szCs w:val="24"/>
        </w:rPr>
        <w:t>,</w:t>
      </w:r>
      <w:r w:rsidRPr="1448E781">
        <w:rPr>
          <w:color w:val="2F5496" w:themeColor="accent1" w:themeShade="BF"/>
          <w:sz w:val="24"/>
          <w:szCs w:val="24"/>
        </w:rPr>
        <w:t xml:space="preserve"> putting learning into practice</w:t>
      </w:r>
      <w:r w:rsidR="70ACEB0B" w:rsidRPr="1448E781">
        <w:rPr>
          <w:color w:val="2F5496" w:themeColor="accent1" w:themeShade="BF"/>
          <w:sz w:val="24"/>
          <w:szCs w:val="24"/>
        </w:rPr>
        <w:t xml:space="preserve"> including </w:t>
      </w:r>
      <w:r w:rsidR="70ACEB0B" w:rsidRPr="1448E781">
        <w:rPr>
          <w:b/>
          <w:bCs/>
          <w:color w:val="2F5496" w:themeColor="accent1" w:themeShade="BF"/>
          <w:sz w:val="24"/>
          <w:szCs w:val="24"/>
        </w:rPr>
        <w:t>Medical Terminology</w:t>
      </w:r>
      <w:r w:rsidR="70ACEB0B" w:rsidRPr="1448E781">
        <w:rPr>
          <w:color w:val="2F5496" w:themeColor="accent1" w:themeShade="BF"/>
          <w:sz w:val="24"/>
          <w:szCs w:val="24"/>
        </w:rPr>
        <w:t xml:space="preserve"> Training</w:t>
      </w:r>
      <w:r w:rsidRPr="1448E781">
        <w:rPr>
          <w:color w:val="2F5496" w:themeColor="accent1" w:themeShade="BF"/>
          <w:sz w:val="24"/>
          <w:szCs w:val="24"/>
        </w:rPr>
        <w:t>.</w:t>
      </w:r>
    </w:p>
    <w:p w14:paraId="425C2EC4" w14:textId="23317E02" w:rsidR="00D613D5" w:rsidRDefault="00250EC6" w:rsidP="1448E781">
      <w:pPr>
        <w:pStyle w:val="ListParagraph"/>
        <w:numPr>
          <w:ilvl w:val="0"/>
          <w:numId w:val="5"/>
        </w:numPr>
        <w:spacing w:after="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L</w:t>
      </w:r>
      <w:r w:rsidR="00D613D5" w:rsidRPr="1448E781">
        <w:rPr>
          <w:color w:val="2F5496" w:themeColor="accent1" w:themeShade="BF"/>
          <w:sz w:val="24"/>
          <w:szCs w:val="24"/>
        </w:rPr>
        <w:t>earners will be expected to carry out workplace-based learning and</w:t>
      </w:r>
      <w:r>
        <w:rPr>
          <w:color w:val="2F5496" w:themeColor="accent1" w:themeShade="BF"/>
          <w:sz w:val="24"/>
          <w:szCs w:val="24"/>
        </w:rPr>
        <w:t xml:space="preserve"> receive</w:t>
      </w:r>
      <w:r w:rsidR="00D613D5" w:rsidRPr="1448E781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 xml:space="preserve">feedback support and </w:t>
      </w:r>
      <w:r w:rsidR="00D613D5" w:rsidRPr="1448E781">
        <w:rPr>
          <w:color w:val="2F5496" w:themeColor="accent1" w:themeShade="BF"/>
          <w:sz w:val="24"/>
          <w:szCs w:val="24"/>
        </w:rPr>
        <w:t>supervision from a GP mentor</w:t>
      </w:r>
      <w:r>
        <w:rPr>
          <w:color w:val="2F5496" w:themeColor="accent1" w:themeShade="BF"/>
          <w:sz w:val="24"/>
          <w:szCs w:val="24"/>
        </w:rPr>
        <w:t xml:space="preserve"> between sessions. 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980"/>
        <w:gridCol w:w="1559"/>
        <w:gridCol w:w="4394"/>
        <w:gridCol w:w="2552"/>
      </w:tblGrid>
      <w:tr w:rsidR="1448E781" w14:paraId="02154FF8" w14:textId="77777777" w:rsidTr="17104BC3">
        <w:trPr>
          <w:trHeight w:val="570"/>
        </w:trPr>
        <w:tc>
          <w:tcPr>
            <w:tcW w:w="1980" w:type="dxa"/>
          </w:tcPr>
          <w:p w14:paraId="01B0AEEF" w14:textId="77777777" w:rsidR="00C474C6" w:rsidRDefault="00C474C6" w:rsidP="16B57C21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  <w:p w14:paraId="11CCA925" w14:textId="75F98D5A" w:rsidR="00C040C2" w:rsidRPr="00C474C6" w:rsidRDefault="00C474C6" w:rsidP="16B57C21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May 2021</w:t>
            </w:r>
          </w:p>
        </w:tc>
        <w:tc>
          <w:tcPr>
            <w:tcW w:w="1559" w:type="dxa"/>
          </w:tcPr>
          <w:p w14:paraId="2123D044" w14:textId="77777777" w:rsidR="00C474C6" w:rsidRDefault="00C474C6" w:rsidP="16B57C21">
            <w:pPr>
              <w:spacing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E24BDA1" w14:textId="4C8907D5" w:rsidR="1448E781" w:rsidRPr="00C474C6" w:rsidRDefault="00333A0C" w:rsidP="16B57C2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AE78FD">
              <w:rPr>
                <w:b/>
                <w:bCs/>
                <w:color w:val="2F5496" w:themeColor="accent1" w:themeShade="BF"/>
                <w:sz w:val="20"/>
                <w:szCs w:val="20"/>
              </w:rPr>
              <w:t>pm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-</w:t>
            </w:r>
            <w:r w:rsidR="00AE78FD">
              <w:rPr>
                <w:b/>
                <w:bCs/>
                <w:color w:val="2F5496" w:themeColor="accent1" w:themeShade="BF"/>
                <w:sz w:val="20"/>
                <w:szCs w:val="20"/>
              </w:rPr>
              <w:t>4pm</w:t>
            </w:r>
          </w:p>
        </w:tc>
        <w:tc>
          <w:tcPr>
            <w:tcW w:w="4394" w:type="dxa"/>
          </w:tcPr>
          <w:p w14:paraId="7A60BE48" w14:textId="77777777" w:rsidR="00C474C6" w:rsidRDefault="00C474C6" w:rsidP="00C474C6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06DC5D1" w14:textId="6C70CDCF" w:rsidR="1448E781" w:rsidRPr="00C474C6" w:rsidRDefault="00333A0C" w:rsidP="00C474C6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Programme</w:t>
            </w:r>
            <w:proofErr w:type="spellEnd"/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introduction meeting &amp; 1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  <w:p w14:paraId="4597AB33" w14:textId="2C2AECA0" w:rsidR="00250EC6" w:rsidRPr="00C474C6" w:rsidRDefault="001F5873" w:rsidP="16B57C21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250EC6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ession</w:t>
            </w:r>
          </w:p>
          <w:p w14:paraId="614F62D7" w14:textId="77777777" w:rsidR="001F5873" w:rsidRPr="00C474C6" w:rsidRDefault="001F5873" w:rsidP="16B57C21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8340EFF" w14:textId="17BEA732" w:rsidR="001F5873" w:rsidRPr="00C474C6" w:rsidRDefault="001F5873" w:rsidP="16B57C21">
            <w:pPr>
              <w:spacing w:after="0" w:line="240" w:lineRule="auto"/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880384" w14:textId="77777777" w:rsidR="00C474C6" w:rsidRDefault="00250EC6" w:rsidP="00C474C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1300-1400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 xml:space="preserve"> (GP mentors, GP Assts and PMs required)</w:t>
            </w:r>
          </w:p>
          <w:p w14:paraId="4A1527E0" w14:textId="7AA88876" w:rsidR="1448E781" w:rsidRPr="00C474C6" w:rsidRDefault="00333A0C" w:rsidP="00C474C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 xml:space="preserve">1400-1600 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GP Asst 1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Session</w:t>
            </w:r>
          </w:p>
        </w:tc>
      </w:tr>
      <w:tr w:rsidR="1448E781" w14:paraId="4D3C6AA8" w14:textId="77777777" w:rsidTr="17104BC3">
        <w:trPr>
          <w:trHeight w:val="516"/>
        </w:trPr>
        <w:tc>
          <w:tcPr>
            <w:tcW w:w="1980" w:type="dxa"/>
          </w:tcPr>
          <w:p w14:paraId="2427448C" w14:textId="653ED94B" w:rsidR="1448E781" w:rsidRPr="00C474C6" w:rsidRDefault="00C474C6" w:rsidP="17104BC3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May 2021</w:t>
            </w:r>
          </w:p>
        </w:tc>
        <w:tc>
          <w:tcPr>
            <w:tcW w:w="1559" w:type="dxa"/>
          </w:tcPr>
          <w:p w14:paraId="7377F83A" w14:textId="7A74E44B" w:rsidR="1448E781" w:rsidRPr="00C474C6" w:rsidRDefault="00333A0C" w:rsidP="00AE78FD">
            <w:pPr>
              <w:spacing w:line="240" w:lineRule="auto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color w:val="2F5496" w:themeColor="accent1" w:themeShade="BF"/>
                <w:sz w:val="20"/>
                <w:szCs w:val="20"/>
              </w:rPr>
              <w:t>9.30am</w:t>
            </w:r>
            <w:r w:rsidR="00AE78FD">
              <w:rPr>
                <w:color w:val="2F5496" w:themeColor="accent1" w:themeShade="BF"/>
                <w:sz w:val="20"/>
                <w:szCs w:val="20"/>
              </w:rPr>
              <w:t>-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>12</w:t>
            </w:r>
            <w:r w:rsidR="00AE78FD">
              <w:rPr>
                <w:color w:val="2F5496" w:themeColor="accent1" w:themeShade="BF"/>
                <w:sz w:val="20"/>
                <w:szCs w:val="20"/>
              </w:rPr>
              <w:t>.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>30</w:t>
            </w:r>
          </w:p>
        </w:tc>
        <w:tc>
          <w:tcPr>
            <w:tcW w:w="4394" w:type="dxa"/>
          </w:tcPr>
          <w:p w14:paraId="7CF17857" w14:textId="12F58707" w:rsidR="001F5873" w:rsidRPr="00C474C6" w:rsidRDefault="00333A0C" w:rsidP="00C474C6">
            <w:pPr>
              <w:spacing w:after="0" w:line="240" w:lineRule="auto"/>
              <w:jc w:val="center"/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Session 2 </w:t>
            </w:r>
            <w:r w:rsidR="00E11F5E"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Introduction to </w:t>
            </w:r>
            <w:r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Medical Terminology </w:t>
            </w:r>
          </w:p>
        </w:tc>
        <w:tc>
          <w:tcPr>
            <w:tcW w:w="2552" w:type="dxa"/>
          </w:tcPr>
          <w:p w14:paraId="6D75A7C6" w14:textId="35D063F0" w:rsidR="1448E781" w:rsidRPr="00C474C6" w:rsidRDefault="00333A0C" w:rsidP="00C474C6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GP Asst</w:t>
            </w:r>
          </w:p>
        </w:tc>
      </w:tr>
      <w:tr w:rsidR="1448E781" w14:paraId="76AB7B9D" w14:textId="77777777" w:rsidTr="17104BC3">
        <w:trPr>
          <w:trHeight w:val="494"/>
        </w:trPr>
        <w:tc>
          <w:tcPr>
            <w:tcW w:w="1980" w:type="dxa"/>
          </w:tcPr>
          <w:p w14:paraId="7E62004A" w14:textId="5B6D2993" w:rsidR="00AE78FD" w:rsidRDefault="00C474C6" w:rsidP="00AE78FD">
            <w:pPr>
              <w:spacing w:after="0"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21</w:t>
            </w:r>
            <w:r w:rsidR="00D94655" w:rsidRPr="00D94655">
              <w:rPr>
                <w:rFonts w:ascii="Calibri" w:hAnsi="Calibri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D9465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May 2021 </w:t>
            </w: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396D219" w14:textId="7598AAF9" w:rsidR="00AE78FD" w:rsidRPr="00AE78FD" w:rsidRDefault="00AE78FD" w:rsidP="00AE78F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58625" w14:textId="678EF7DA" w:rsidR="1448E781" w:rsidRPr="00C474C6" w:rsidRDefault="00333A0C" w:rsidP="00C474C6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color w:val="2F5496" w:themeColor="accent1" w:themeShade="BF"/>
                <w:sz w:val="20"/>
                <w:szCs w:val="20"/>
              </w:rPr>
              <w:t>9.30am-1230</w:t>
            </w:r>
          </w:p>
        </w:tc>
        <w:tc>
          <w:tcPr>
            <w:tcW w:w="4394" w:type="dxa"/>
          </w:tcPr>
          <w:p w14:paraId="497F9197" w14:textId="7A5EFD70" w:rsidR="001F5873" w:rsidRPr="00C474C6" w:rsidRDefault="00333A0C" w:rsidP="00C474C6">
            <w:pPr>
              <w:spacing w:after="0" w:line="240" w:lineRule="auto"/>
              <w:jc w:val="center"/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Session </w:t>
            </w:r>
            <w:r w:rsidR="00C474C6"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>3 -</w:t>
            </w:r>
            <w:r w:rsidR="00E11F5E"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Advanced </w:t>
            </w:r>
            <w:r w:rsidRPr="00C474C6">
              <w:rPr>
                <w:i/>
                <w:iCs/>
                <w:color w:val="2F5496" w:themeColor="accent1" w:themeShade="BF"/>
                <w:sz w:val="20"/>
                <w:szCs w:val="20"/>
              </w:rPr>
              <w:t>Medical Terminology</w:t>
            </w:r>
          </w:p>
        </w:tc>
        <w:tc>
          <w:tcPr>
            <w:tcW w:w="2552" w:type="dxa"/>
          </w:tcPr>
          <w:p w14:paraId="7404E499" w14:textId="3DD14371" w:rsidR="1448E781" w:rsidRPr="00C474C6" w:rsidRDefault="00333A0C" w:rsidP="00C474C6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GP Asst</w:t>
            </w:r>
          </w:p>
        </w:tc>
      </w:tr>
      <w:tr w:rsidR="00333A0C" w14:paraId="6D9FF367" w14:textId="77777777" w:rsidTr="17104BC3">
        <w:trPr>
          <w:trHeight w:val="930"/>
        </w:trPr>
        <w:tc>
          <w:tcPr>
            <w:tcW w:w="1980" w:type="dxa"/>
          </w:tcPr>
          <w:p w14:paraId="6A05B3C6" w14:textId="618F8F9B" w:rsidR="00C474C6" w:rsidRPr="00C474C6" w:rsidRDefault="00C474C6" w:rsidP="00AE78FD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June </w:t>
            </w:r>
            <w:r w:rsidR="00AE78FD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&amp; </w:t>
            </w:r>
            <w:r w:rsidR="00AE78FD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22</w:t>
            </w:r>
            <w:r w:rsidR="00AE78FD"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AE78FD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AE78FD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June,</w:t>
            </w:r>
            <w:r w:rsidR="00AE78FD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333A0C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333A0C"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333A0C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July,</w:t>
            </w:r>
          </w:p>
          <w:p w14:paraId="454B5FFB" w14:textId="67C41FD2" w:rsidR="00250EC6" w:rsidRPr="00C474C6" w:rsidRDefault="00333A0C" w:rsidP="00C474C6">
            <w:pPr>
              <w:spacing w:after="0"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250EC6"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&amp; 28</w:t>
            </w:r>
            <w:r w:rsidR="00250EC6" w:rsidRPr="00C474C6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</w:t>
            </w: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September, </w:t>
            </w:r>
          </w:p>
          <w:p w14:paraId="090DC54D" w14:textId="2EF7754B" w:rsidR="00333A0C" w:rsidRPr="00C474C6" w:rsidRDefault="00333A0C" w:rsidP="00F01DCB">
            <w:pPr>
              <w:spacing w:line="240" w:lineRule="auto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  <w:t>12th October 2021</w:t>
            </w:r>
          </w:p>
        </w:tc>
        <w:tc>
          <w:tcPr>
            <w:tcW w:w="1559" w:type="dxa"/>
          </w:tcPr>
          <w:p w14:paraId="7056E2FA" w14:textId="791620AD" w:rsidR="00333A0C" w:rsidRPr="00C474C6" w:rsidRDefault="00333A0C" w:rsidP="00F01DCB">
            <w:pPr>
              <w:spacing w:line="240" w:lineRule="auto"/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color w:val="2F5496" w:themeColor="accent1" w:themeShade="BF"/>
                <w:sz w:val="20"/>
                <w:szCs w:val="20"/>
              </w:rPr>
              <w:t>9</w:t>
            </w:r>
            <w:r w:rsidR="19C58201" w:rsidRPr="00C474C6">
              <w:rPr>
                <w:color w:val="2F5496" w:themeColor="accent1" w:themeShade="BF"/>
                <w:sz w:val="20"/>
                <w:szCs w:val="20"/>
              </w:rPr>
              <w:t>.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>30</w:t>
            </w:r>
            <w:r w:rsidR="149F9C45" w:rsidRPr="00C474C6">
              <w:rPr>
                <w:color w:val="2F5496" w:themeColor="accent1" w:themeShade="BF"/>
                <w:sz w:val="20"/>
                <w:szCs w:val="20"/>
              </w:rPr>
              <w:t>am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>-1230</w:t>
            </w:r>
          </w:p>
        </w:tc>
        <w:tc>
          <w:tcPr>
            <w:tcW w:w="4394" w:type="dxa"/>
          </w:tcPr>
          <w:p w14:paraId="4E71CADE" w14:textId="63AB4DB7" w:rsidR="00333A0C" w:rsidRPr="00C474C6" w:rsidRDefault="00333A0C" w:rsidP="48FB7437">
            <w:pPr>
              <w:spacing w:after="0" w:line="240" w:lineRule="auto"/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color w:val="2F5496" w:themeColor="accent1" w:themeShade="BF"/>
                <w:sz w:val="20"/>
                <w:szCs w:val="20"/>
              </w:rPr>
              <w:t xml:space="preserve">Sessions </w:t>
            </w:r>
            <w:r w:rsidR="00C474C6" w:rsidRPr="00C474C6">
              <w:rPr>
                <w:color w:val="2F5496" w:themeColor="accent1" w:themeShade="BF"/>
                <w:sz w:val="20"/>
                <w:szCs w:val="20"/>
              </w:rPr>
              <w:t>4</w:t>
            </w:r>
            <w:r w:rsidRPr="00C474C6">
              <w:rPr>
                <w:color w:val="2F5496" w:themeColor="accent1" w:themeShade="BF"/>
                <w:sz w:val="20"/>
                <w:szCs w:val="20"/>
              </w:rPr>
              <w:t>-</w:t>
            </w:r>
            <w:r w:rsidR="00F01DCB" w:rsidRPr="00C474C6">
              <w:rPr>
                <w:color w:val="2F5496" w:themeColor="accent1" w:themeShade="BF"/>
                <w:sz w:val="20"/>
                <w:szCs w:val="20"/>
              </w:rPr>
              <w:t>9</w:t>
            </w:r>
          </w:p>
          <w:p w14:paraId="2536BDFF" w14:textId="02FB2F2D" w:rsidR="00333A0C" w:rsidRPr="00C474C6" w:rsidRDefault="00333A0C" w:rsidP="48FB7437">
            <w:pPr>
              <w:spacing w:after="0"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  <w:p w14:paraId="504E8003" w14:textId="32E19B41" w:rsidR="00333A0C" w:rsidRPr="00C474C6" w:rsidRDefault="5B4BA584" w:rsidP="00C474C6">
            <w:pPr>
              <w:spacing w:after="0" w:line="240" w:lineRule="auto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E78FD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  <w:t>12</w:t>
            </w:r>
            <w:r w:rsidRPr="00AE78FD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  <w:highlight w:val="yellow"/>
                <w:vertAlign w:val="superscript"/>
              </w:rPr>
              <w:t>th</w:t>
            </w:r>
            <w:r w:rsidRPr="00AE78FD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  <w:t xml:space="preserve"> October </w:t>
            </w: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  <w:t>– Mentors and Practice Managers will be invited to the</w:t>
            </w:r>
            <w:r w:rsidRPr="00AE78FD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  <w:t xml:space="preserve"> last hour</w:t>
            </w: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  <w:t xml:space="preserve"> to join in the plan going forward for the GP Assts.</w:t>
            </w:r>
          </w:p>
        </w:tc>
        <w:tc>
          <w:tcPr>
            <w:tcW w:w="2552" w:type="dxa"/>
          </w:tcPr>
          <w:p w14:paraId="3A3DD46D" w14:textId="3D3D75DD" w:rsidR="00333A0C" w:rsidRPr="00C474C6" w:rsidRDefault="00333A0C" w:rsidP="48FB7437">
            <w:pPr>
              <w:spacing w:line="240" w:lineRule="auto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C474C6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GP Asst</w:t>
            </w:r>
          </w:p>
          <w:p w14:paraId="6E91E235" w14:textId="0AE4F3A9" w:rsidR="00333A0C" w:rsidRPr="00C474C6" w:rsidRDefault="6872317E" w:rsidP="00C474C6">
            <w:pPr>
              <w:spacing w:line="240" w:lineRule="auto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  <w:t>12</w:t>
            </w: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  <w:vertAlign w:val="superscript"/>
              </w:rPr>
              <w:t>th</w:t>
            </w: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  <w:t xml:space="preserve"> Oct – </w:t>
            </w:r>
            <w:r w:rsidRPr="00AE78FD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  <w:t>1130-1230</w:t>
            </w:r>
            <w:r w:rsidRPr="00AE78FD">
              <w:rPr>
                <w:rFonts w:ascii="Calibri" w:hAnsi="Calibri"/>
                <w:color w:val="2F5496" w:themeColor="accent1" w:themeShade="BF"/>
                <w:sz w:val="20"/>
                <w:szCs w:val="20"/>
                <w:highlight w:val="yellow"/>
              </w:rPr>
              <w:t xml:space="preserve"> – GP Mentors and PMs required</w:t>
            </w:r>
          </w:p>
        </w:tc>
      </w:tr>
    </w:tbl>
    <w:p w14:paraId="7E1CE289" w14:textId="7C090652" w:rsidR="00F01DCB" w:rsidRDefault="00F01DCB" w:rsidP="00250EC6">
      <w:pPr>
        <w:spacing w:after="0"/>
        <w:jc w:val="center"/>
        <w:rPr>
          <w:color w:val="2F5496" w:themeColor="accent1" w:themeShade="BF"/>
          <w:sz w:val="24"/>
          <w:szCs w:val="24"/>
        </w:rPr>
      </w:pPr>
      <w:r w:rsidRPr="1448E781">
        <w:rPr>
          <w:color w:val="2F5496" w:themeColor="accent1" w:themeShade="BF"/>
          <w:sz w:val="24"/>
          <w:szCs w:val="24"/>
        </w:rPr>
        <w:t xml:space="preserve">To book a place for one your reception/admin team please contact Emily on </w:t>
      </w:r>
      <w:hyperlink r:id="rId10">
        <w:r w:rsidRPr="1448E781">
          <w:rPr>
            <w:rStyle w:val="Hyperlink"/>
            <w:sz w:val="24"/>
            <w:szCs w:val="24"/>
          </w:rPr>
          <w:t>barnet.cepnadmin@nhs.net</w:t>
        </w:r>
      </w:hyperlink>
      <w:r w:rsidRPr="1448E781">
        <w:rPr>
          <w:color w:val="2F5496" w:themeColor="accent1" w:themeShade="BF"/>
          <w:sz w:val="24"/>
          <w:szCs w:val="24"/>
        </w:rPr>
        <w:t xml:space="preserve"> with </w:t>
      </w:r>
      <w:r w:rsidRPr="00F01DCB">
        <w:rPr>
          <w:b/>
          <w:bCs/>
          <w:color w:val="2F5496" w:themeColor="accent1" w:themeShade="BF"/>
          <w:sz w:val="24"/>
          <w:szCs w:val="24"/>
        </w:rPr>
        <w:t>Name, Email, Role</w:t>
      </w:r>
      <w:r w:rsidRPr="1448E781">
        <w:rPr>
          <w:color w:val="2F5496" w:themeColor="accent1" w:themeShade="BF"/>
          <w:sz w:val="24"/>
          <w:szCs w:val="24"/>
        </w:rPr>
        <w:t xml:space="preserve"> and </w:t>
      </w:r>
      <w:r w:rsidRPr="00F01DCB">
        <w:rPr>
          <w:b/>
          <w:bCs/>
          <w:color w:val="2F5496" w:themeColor="accent1" w:themeShade="BF"/>
          <w:sz w:val="24"/>
          <w:szCs w:val="24"/>
        </w:rPr>
        <w:t>GP Mentor name</w:t>
      </w:r>
      <w:r w:rsidRPr="1448E781">
        <w:rPr>
          <w:color w:val="2F5496" w:themeColor="accent1" w:themeShade="BF"/>
          <w:sz w:val="24"/>
          <w:szCs w:val="24"/>
        </w:rPr>
        <w:t xml:space="preserve"> and </w:t>
      </w:r>
      <w:r w:rsidRPr="00F01DCB">
        <w:rPr>
          <w:b/>
          <w:bCs/>
          <w:color w:val="2F5496" w:themeColor="accent1" w:themeShade="BF"/>
          <w:sz w:val="24"/>
          <w:szCs w:val="24"/>
        </w:rPr>
        <w:t>email address</w:t>
      </w:r>
      <w:r w:rsidRPr="1448E781">
        <w:rPr>
          <w:color w:val="2F5496" w:themeColor="accent1" w:themeShade="BF"/>
          <w:sz w:val="24"/>
          <w:szCs w:val="24"/>
        </w:rPr>
        <w:t>.</w:t>
      </w:r>
    </w:p>
    <w:p w14:paraId="395F6036" w14:textId="00838009" w:rsidR="1448E781" w:rsidRPr="00250EC6" w:rsidRDefault="68394457" w:rsidP="00250EC6">
      <w:pPr>
        <w:spacing w:after="0"/>
        <w:jc w:val="center"/>
        <w:rPr>
          <w:b/>
          <w:bCs/>
          <w:color w:val="2F5496" w:themeColor="accent1" w:themeShade="BF"/>
          <w:sz w:val="24"/>
          <w:szCs w:val="24"/>
        </w:rPr>
      </w:pPr>
      <w:r w:rsidRPr="16B57C21">
        <w:rPr>
          <w:b/>
          <w:bCs/>
          <w:color w:val="2F5496" w:themeColor="accent1" w:themeShade="BF"/>
          <w:sz w:val="24"/>
          <w:szCs w:val="24"/>
        </w:rPr>
        <w:t>Places are limited and will be allocated on a first come first serve basis</w:t>
      </w:r>
    </w:p>
    <w:sectPr w:rsidR="1448E781" w:rsidRPr="00250EC6" w:rsidSect="00333A0C">
      <w:headerReference w:type="default" r:id="rId11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E445" w14:textId="77777777" w:rsidR="00985B8B" w:rsidRDefault="00985B8B" w:rsidP="00D613D5">
      <w:pPr>
        <w:spacing w:after="0" w:line="240" w:lineRule="auto"/>
      </w:pPr>
      <w:r>
        <w:separator/>
      </w:r>
    </w:p>
  </w:endnote>
  <w:endnote w:type="continuationSeparator" w:id="0">
    <w:p w14:paraId="24DA8639" w14:textId="77777777" w:rsidR="00985B8B" w:rsidRDefault="00985B8B" w:rsidP="00D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D1162" w14:textId="77777777" w:rsidR="00985B8B" w:rsidRDefault="00985B8B" w:rsidP="00D613D5">
      <w:pPr>
        <w:spacing w:after="0" w:line="240" w:lineRule="auto"/>
      </w:pPr>
      <w:r>
        <w:separator/>
      </w:r>
    </w:p>
  </w:footnote>
  <w:footnote w:type="continuationSeparator" w:id="0">
    <w:p w14:paraId="6A6EA182" w14:textId="77777777" w:rsidR="00985B8B" w:rsidRDefault="00985B8B" w:rsidP="00D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5371" w14:textId="765FEE41" w:rsidR="00E11F5E" w:rsidRDefault="00E11F5E" w:rsidP="00333A0C">
    <w:pPr>
      <w:pStyle w:val="Header"/>
    </w:pPr>
    <w:r w:rsidRPr="17104BC3">
      <w:rPr>
        <w:noProof/>
      </w:rPr>
      <w:t xml:space="preserve">     </w:t>
    </w:r>
    <w:r w:rsidR="00817FFD">
      <w:rPr>
        <w:noProof/>
      </w:rPr>
      <w:drawing>
        <wp:inline distT="0" distB="0" distL="0" distR="0" wp14:anchorId="594426C7" wp14:editId="2690812D">
          <wp:extent cx="2619375" cy="91180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91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7104BC3">
      <w:rPr>
        <w:noProof/>
      </w:rPr>
      <w:t xml:space="preserve">                                                                </w:t>
    </w:r>
    <w:r w:rsidR="00817FFD">
      <w:rPr>
        <w:noProof/>
      </w:rPr>
      <w:drawing>
        <wp:inline distT="0" distB="0" distL="0" distR="0" wp14:anchorId="7783212F" wp14:editId="7C9CF3AB">
          <wp:extent cx="1819275" cy="923925"/>
          <wp:effectExtent l="0" t="0" r="9525" b="952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14="http://schemas.microsoft.com/office/drawing/2010/main" id="{408C0887-F43B-4404-B01D-C333C0585433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7F7"/>
    <w:multiLevelType w:val="hybridMultilevel"/>
    <w:tmpl w:val="58F0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0293"/>
    <w:multiLevelType w:val="hybridMultilevel"/>
    <w:tmpl w:val="1CB228BA"/>
    <w:lvl w:ilvl="0" w:tplc="6E3EDA88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677C"/>
    <w:multiLevelType w:val="hybridMultilevel"/>
    <w:tmpl w:val="82E034EC"/>
    <w:lvl w:ilvl="0" w:tplc="D2DA9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C6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AE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02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A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AC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EF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27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0E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417"/>
    <w:multiLevelType w:val="hybridMultilevel"/>
    <w:tmpl w:val="66068378"/>
    <w:lvl w:ilvl="0" w:tplc="2280D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01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88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0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E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2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C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A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D6F"/>
    <w:multiLevelType w:val="hybridMultilevel"/>
    <w:tmpl w:val="F3F8FE90"/>
    <w:lvl w:ilvl="0" w:tplc="77EA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9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23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A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C1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6D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83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A9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7942"/>
    <w:multiLevelType w:val="hybridMultilevel"/>
    <w:tmpl w:val="7AE63048"/>
    <w:lvl w:ilvl="0" w:tplc="B06E1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2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26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8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6E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0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4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CA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9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37EA"/>
    <w:multiLevelType w:val="hybridMultilevel"/>
    <w:tmpl w:val="779403C0"/>
    <w:lvl w:ilvl="0" w:tplc="5E823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28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4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6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3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A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09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D5"/>
    <w:rsid w:val="00035887"/>
    <w:rsid w:val="00045479"/>
    <w:rsid w:val="000C3472"/>
    <w:rsid w:val="001668E2"/>
    <w:rsid w:val="001F5873"/>
    <w:rsid w:val="00202894"/>
    <w:rsid w:val="00205C3C"/>
    <w:rsid w:val="00244B22"/>
    <w:rsid w:val="00250EC6"/>
    <w:rsid w:val="00276D97"/>
    <w:rsid w:val="002A4ACA"/>
    <w:rsid w:val="00333A0C"/>
    <w:rsid w:val="004D2AD1"/>
    <w:rsid w:val="005E425C"/>
    <w:rsid w:val="007A2064"/>
    <w:rsid w:val="00817FFD"/>
    <w:rsid w:val="00820D09"/>
    <w:rsid w:val="00921F30"/>
    <w:rsid w:val="00985B8B"/>
    <w:rsid w:val="009D0A40"/>
    <w:rsid w:val="00A8149E"/>
    <w:rsid w:val="00AE78FD"/>
    <w:rsid w:val="00B074D6"/>
    <w:rsid w:val="00B93A44"/>
    <w:rsid w:val="00C040C2"/>
    <w:rsid w:val="00C474C6"/>
    <w:rsid w:val="00CB5BC4"/>
    <w:rsid w:val="00D56A23"/>
    <w:rsid w:val="00D613D5"/>
    <w:rsid w:val="00D94655"/>
    <w:rsid w:val="00E046A8"/>
    <w:rsid w:val="00E05137"/>
    <w:rsid w:val="00E11F5E"/>
    <w:rsid w:val="00F01DCB"/>
    <w:rsid w:val="028C761A"/>
    <w:rsid w:val="040FC503"/>
    <w:rsid w:val="042594E6"/>
    <w:rsid w:val="06128412"/>
    <w:rsid w:val="062BA31D"/>
    <w:rsid w:val="0637D1B5"/>
    <w:rsid w:val="06A71D61"/>
    <w:rsid w:val="06F0E824"/>
    <w:rsid w:val="07DCBD91"/>
    <w:rsid w:val="07EAEF32"/>
    <w:rsid w:val="08365D9B"/>
    <w:rsid w:val="087C11E3"/>
    <w:rsid w:val="096FCA45"/>
    <w:rsid w:val="09A76998"/>
    <w:rsid w:val="0CB3B24A"/>
    <w:rsid w:val="0CD3983D"/>
    <w:rsid w:val="0CDBC38D"/>
    <w:rsid w:val="0D035683"/>
    <w:rsid w:val="0D22411D"/>
    <w:rsid w:val="0DEF8F6C"/>
    <w:rsid w:val="1448E781"/>
    <w:rsid w:val="149F9C45"/>
    <w:rsid w:val="16B57C21"/>
    <w:rsid w:val="17104BC3"/>
    <w:rsid w:val="1719786A"/>
    <w:rsid w:val="182663BA"/>
    <w:rsid w:val="19001786"/>
    <w:rsid w:val="19C58201"/>
    <w:rsid w:val="1A17A899"/>
    <w:rsid w:val="1C2C462B"/>
    <w:rsid w:val="1C384153"/>
    <w:rsid w:val="1CB517A7"/>
    <w:rsid w:val="1D0E665A"/>
    <w:rsid w:val="1E888377"/>
    <w:rsid w:val="1ED62B56"/>
    <w:rsid w:val="207BBB72"/>
    <w:rsid w:val="228079BC"/>
    <w:rsid w:val="2292DC8F"/>
    <w:rsid w:val="22BEFD68"/>
    <w:rsid w:val="24871B37"/>
    <w:rsid w:val="24C0298C"/>
    <w:rsid w:val="2511CD86"/>
    <w:rsid w:val="2557546F"/>
    <w:rsid w:val="2584E0EB"/>
    <w:rsid w:val="25FC9035"/>
    <w:rsid w:val="2860F222"/>
    <w:rsid w:val="29D1ECED"/>
    <w:rsid w:val="29D24697"/>
    <w:rsid w:val="29E43CA5"/>
    <w:rsid w:val="2C0EF217"/>
    <w:rsid w:val="2C8B6FC2"/>
    <w:rsid w:val="2CA7B095"/>
    <w:rsid w:val="2E463A29"/>
    <w:rsid w:val="30254239"/>
    <w:rsid w:val="327210D4"/>
    <w:rsid w:val="32FE0B08"/>
    <w:rsid w:val="33168999"/>
    <w:rsid w:val="33DA6D7A"/>
    <w:rsid w:val="35CBD36D"/>
    <w:rsid w:val="35F5A522"/>
    <w:rsid w:val="360B8669"/>
    <w:rsid w:val="371B58F0"/>
    <w:rsid w:val="386BB25A"/>
    <w:rsid w:val="38D8A738"/>
    <w:rsid w:val="390F46EE"/>
    <w:rsid w:val="396C08BF"/>
    <w:rsid w:val="3A0782BB"/>
    <w:rsid w:val="3B345403"/>
    <w:rsid w:val="3B655234"/>
    <w:rsid w:val="3B80F0CE"/>
    <w:rsid w:val="3CE815D5"/>
    <w:rsid w:val="3E00B707"/>
    <w:rsid w:val="3F64A429"/>
    <w:rsid w:val="428F6AF4"/>
    <w:rsid w:val="4306FE78"/>
    <w:rsid w:val="43874AB9"/>
    <w:rsid w:val="44041D47"/>
    <w:rsid w:val="441EECEF"/>
    <w:rsid w:val="45F69F93"/>
    <w:rsid w:val="48FB7437"/>
    <w:rsid w:val="4A3D5B55"/>
    <w:rsid w:val="4A722EDB"/>
    <w:rsid w:val="4B5CE449"/>
    <w:rsid w:val="4B6E1AFF"/>
    <w:rsid w:val="4B9088FA"/>
    <w:rsid w:val="4C188126"/>
    <w:rsid w:val="4CD32EFF"/>
    <w:rsid w:val="4D1C4BC9"/>
    <w:rsid w:val="4E168E7D"/>
    <w:rsid w:val="4F65B60F"/>
    <w:rsid w:val="5111ABE3"/>
    <w:rsid w:val="529453E7"/>
    <w:rsid w:val="53E3A575"/>
    <w:rsid w:val="5441896C"/>
    <w:rsid w:val="552C921B"/>
    <w:rsid w:val="5560B6EB"/>
    <w:rsid w:val="5598A72C"/>
    <w:rsid w:val="55AA94DC"/>
    <w:rsid w:val="55D1BEAA"/>
    <w:rsid w:val="55FAA3BA"/>
    <w:rsid w:val="577EC258"/>
    <w:rsid w:val="57F66031"/>
    <w:rsid w:val="5891029A"/>
    <w:rsid w:val="58F571EC"/>
    <w:rsid w:val="5942171F"/>
    <w:rsid w:val="596E2B59"/>
    <w:rsid w:val="5A9F65CC"/>
    <w:rsid w:val="5B4BA584"/>
    <w:rsid w:val="5F384EC5"/>
    <w:rsid w:val="604BD8D9"/>
    <w:rsid w:val="61CFA8FC"/>
    <w:rsid w:val="61EE2E57"/>
    <w:rsid w:val="62829F82"/>
    <w:rsid w:val="64D1F4E2"/>
    <w:rsid w:val="6651754B"/>
    <w:rsid w:val="6707C32F"/>
    <w:rsid w:val="68394457"/>
    <w:rsid w:val="6872317E"/>
    <w:rsid w:val="68D71B48"/>
    <w:rsid w:val="694F70DF"/>
    <w:rsid w:val="69D05B9F"/>
    <w:rsid w:val="69DE9DE2"/>
    <w:rsid w:val="6BD13B65"/>
    <w:rsid w:val="6CC84696"/>
    <w:rsid w:val="6FD75628"/>
    <w:rsid w:val="7036F203"/>
    <w:rsid w:val="7063954F"/>
    <w:rsid w:val="70ACEB0B"/>
    <w:rsid w:val="7126FCC2"/>
    <w:rsid w:val="7156CB1D"/>
    <w:rsid w:val="721662FE"/>
    <w:rsid w:val="73A81008"/>
    <w:rsid w:val="74513185"/>
    <w:rsid w:val="75F3937A"/>
    <w:rsid w:val="7670997E"/>
    <w:rsid w:val="768F4F4D"/>
    <w:rsid w:val="778B9BBF"/>
    <w:rsid w:val="7840274B"/>
    <w:rsid w:val="78473175"/>
    <w:rsid w:val="786EA734"/>
    <w:rsid w:val="7892893B"/>
    <w:rsid w:val="79256557"/>
    <w:rsid w:val="79A0FB90"/>
    <w:rsid w:val="7BA5ADDE"/>
    <w:rsid w:val="7BD1DCCF"/>
    <w:rsid w:val="7CFCF796"/>
    <w:rsid w:val="7D2A6FB3"/>
    <w:rsid w:val="7E42B541"/>
    <w:rsid w:val="7ED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57893"/>
  <w15:chartTrackingRefBased/>
  <w15:docId w15:val="{37CFF59E-97B0-4E62-8562-C0F0D6D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D5"/>
    <w:pPr>
      <w:spacing w:after="200" w:line="276" w:lineRule="auto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D5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1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D5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0289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net.cepnadmin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B600D3D466C4682C1FB20B6B7D2B2" ma:contentTypeVersion="4" ma:contentTypeDescription="Create a new document." ma:contentTypeScope="" ma:versionID="bf4418c1d741bfcb2aa082c67b51694e">
  <xsd:schema xmlns:xsd="http://www.w3.org/2001/XMLSchema" xmlns:xs="http://www.w3.org/2001/XMLSchema" xmlns:p="http://schemas.microsoft.com/office/2006/metadata/properties" xmlns:ns2="4d019fed-47f2-4af9-8178-100f0b12af05" targetNamespace="http://schemas.microsoft.com/office/2006/metadata/properties" ma:root="true" ma:fieldsID="a2c9660fcb140e5b4b40ff860c7593a4" ns2:_="">
    <xsd:import namespace="4d019fed-47f2-4af9-8178-100f0b12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19fed-47f2-4af9-8178-100f0b12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7B08C-1058-455D-98F2-22BAABDE5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19fed-47f2-4af9-8178-100f0b12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09660-C538-44D1-BC24-FA6081BAA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C051D-BE62-49B3-B365-EA318D57C9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Rowlatt</dc:creator>
  <cp:keywords/>
  <dc:description/>
  <cp:lastModifiedBy>Kyra Rowlatt</cp:lastModifiedBy>
  <cp:revision>3</cp:revision>
  <dcterms:created xsi:type="dcterms:W3CDTF">2021-04-12T13:54:00Z</dcterms:created>
  <dcterms:modified xsi:type="dcterms:W3CDTF">2021-04-16T12:20:00Z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0x0101004C3B600D3D466C4682C1FB20B6B7D2B2</vt:lpwstr>
  </property>
</Properties>
</file>